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401603C5" w:rsidR="00721D10" w:rsidRPr="007402D2" w:rsidRDefault="55A8022C" w:rsidP="007402D2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419A9412">
        <w:rPr>
          <w:rFonts w:ascii="Arial" w:hAnsi="Arial" w:cs="Arial"/>
          <w:color w:val="3763AE"/>
          <w:sz w:val="24"/>
          <w:szCs w:val="24"/>
          <w:lang w:val="en-US"/>
        </w:rPr>
        <w:t xml:space="preserve"> </w:t>
      </w:r>
      <w:r w:rsidR="004B6FD5" w:rsidRPr="007402D2">
        <w:rPr>
          <w:rFonts w:ascii="Arial Black" w:hAnsi="Arial Black" w:cs="Arial"/>
          <w:color w:val="3763AE"/>
          <w:sz w:val="28"/>
          <w:szCs w:val="28"/>
        </w:rPr>
        <w:t xml:space="preserve">Managing Bullying, Harassment, and Psychosocial Hazards </w:t>
      </w: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05C23C72" w14:textId="437BFCEB" w:rsidR="00345465" w:rsidRPr="00345465" w:rsidRDefault="00345465" w:rsidP="007402D2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345465">
        <w:rPr>
          <w:rFonts w:ascii="Arial" w:hAnsi="Arial" w:cs="Arial"/>
          <w:sz w:val="20"/>
          <w:szCs w:val="20"/>
        </w:rPr>
        <w:t>To provide guidance on safe and consistent procedures for identifying and managing Bullying, Harassment and psychosocial hazards in the workplace. </w:t>
      </w:r>
    </w:p>
    <w:p w14:paraId="07959F02" w14:textId="3C9F5885" w:rsidR="00345465" w:rsidRDefault="00345465" w:rsidP="007402D2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345465">
        <w:rPr>
          <w:rFonts w:ascii="Arial" w:hAnsi="Arial" w:cs="Arial"/>
          <w:sz w:val="20"/>
          <w:szCs w:val="20"/>
        </w:rPr>
        <w:t>Guidance provided in this document is of a general nature only. This document should be used as the foundation document for the preparation and use of site and task specific procedures, plans and risk assessments.</w:t>
      </w:r>
    </w:p>
    <w:p w14:paraId="37863E4D" w14:textId="77777777" w:rsidR="007402D2" w:rsidRPr="00345465" w:rsidRDefault="007402D2" w:rsidP="007402D2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7402D2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18E23E9B" w14:textId="6756A2CB" w:rsidR="00587F6D" w:rsidRPr="007402D2" w:rsidRDefault="00587F6D" w:rsidP="007402D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02D2">
        <w:rPr>
          <w:rFonts w:ascii="Arial" w:hAnsi="Arial" w:cs="Arial"/>
          <w:sz w:val="20"/>
          <w:szCs w:val="20"/>
        </w:rPr>
        <w:t xml:space="preserve">This SOP applies to all individuals working at </w:t>
      </w:r>
      <w:r w:rsidR="007402D2" w:rsidRPr="007402D2">
        <w:rPr>
          <w:rFonts w:ascii="Arial" w:hAnsi="Arial" w:cs="Arial"/>
          <w:sz w:val="20"/>
          <w:szCs w:val="20"/>
        </w:rPr>
        <w:t>[</w:t>
      </w:r>
      <w:r w:rsidR="007402D2" w:rsidRPr="007402D2">
        <w:rPr>
          <w:rFonts w:ascii="Arial" w:hAnsi="Arial" w:cs="Arial"/>
          <w:sz w:val="20"/>
          <w:szCs w:val="20"/>
          <w:highlight w:val="yellow"/>
        </w:rPr>
        <w:t>Business Name</w:t>
      </w:r>
      <w:r w:rsidR="007402D2" w:rsidRPr="007402D2">
        <w:rPr>
          <w:rFonts w:ascii="Arial" w:hAnsi="Arial" w:cs="Arial"/>
          <w:sz w:val="20"/>
          <w:szCs w:val="20"/>
        </w:rPr>
        <w:t>]</w:t>
      </w:r>
      <w:r w:rsidR="007402D2" w:rsidRPr="007402D2">
        <w:rPr>
          <w:rFonts w:ascii="Arial" w:hAnsi="Arial" w:cs="Arial"/>
          <w:sz w:val="20"/>
          <w:szCs w:val="20"/>
        </w:rPr>
        <w:t xml:space="preserve">, </w:t>
      </w:r>
      <w:r w:rsidRPr="007402D2">
        <w:rPr>
          <w:rFonts w:ascii="Arial" w:hAnsi="Arial" w:cs="Arial"/>
          <w:sz w:val="20"/>
          <w:szCs w:val="20"/>
        </w:rPr>
        <w:t xml:space="preserve">including staff, volunteers, and visitors under supervision. </w:t>
      </w:r>
    </w:p>
    <w:p w14:paraId="5682F6A0" w14:textId="6A0F3A55" w:rsidR="00587F6D" w:rsidRPr="00587F6D" w:rsidRDefault="00587F6D" w:rsidP="007402D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02D2">
        <w:rPr>
          <w:rFonts w:ascii="Arial" w:hAnsi="Arial" w:cs="Arial"/>
          <w:sz w:val="20"/>
          <w:szCs w:val="20"/>
        </w:rPr>
        <w:t>Psychosocial hazards are aspects of work design, environment, or interpersonal interactions that may cause psychological or physical harm. Examples include:</w:t>
      </w:r>
    </w:p>
    <w:p w14:paraId="793C3F39" w14:textId="77777777" w:rsidR="00587F6D" w:rsidRPr="007402D2" w:rsidRDefault="00587F6D" w:rsidP="007402D2">
      <w:pPr>
        <w:pStyle w:val="ListParagraph"/>
        <w:numPr>
          <w:ilvl w:val="0"/>
          <w:numId w:val="25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02D2">
        <w:rPr>
          <w:rFonts w:ascii="Arial" w:hAnsi="Arial" w:cs="Arial"/>
          <w:sz w:val="20"/>
          <w:szCs w:val="20"/>
        </w:rPr>
        <w:t xml:space="preserve">High job demands or low control </w:t>
      </w:r>
    </w:p>
    <w:p w14:paraId="45BE812F" w14:textId="2078454B" w:rsidR="00587F6D" w:rsidRPr="007402D2" w:rsidRDefault="00587F6D" w:rsidP="007402D2">
      <w:pPr>
        <w:pStyle w:val="ListParagraph"/>
        <w:numPr>
          <w:ilvl w:val="0"/>
          <w:numId w:val="25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02D2">
        <w:rPr>
          <w:rFonts w:ascii="Arial" w:hAnsi="Arial" w:cs="Arial"/>
          <w:sz w:val="20"/>
          <w:szCs w:val="20"/>
        </w:rPr>
        <w:t xml:space="preserve">Poor support or unclear roles </w:t>
      </w:r>
    </w:p>
    <w:p w14:paraId="0DAA2D52" w14:textId="7BB8B725" w:rsidR="00587F6D" w:rsidRPr="007402D2" w:rsidRDefault="00587F6D" w:rsidP="007402D2">
      <w:pPr>
        <w:pStyle w:val="ListParagraph"/>
        <w:numPr>
          <w:ilvl w:val="0"/>
          <w:numId w:val="25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02D2">
        <w:rPr>
          <w:rFonts w:ascii="Arial" w:hAnsi="Arial" w:cs="Arial"/>
          <w:sz w:val="20"/>
          <w:szCs w:val="20"/>
        </w:rPr>
        <w:t xml:space="preserve">Bullying, harassment, or violence </w:t>
      </w:r>
    </w:p>
    <w:p w14:paraId="180851F7" w14:textId="54941DA8" w:rsidR="00587F6D" w:rsidRPr="007402D2" w:rsidRDefault="00587F6D" w:rsidP="007402D2">
      <w:pPr>
        <w:pStyle w:val="ListParagraph"/>
        <w:numPr>
          <w:ilvl w:val="0"/>
          <w:numId w:val="25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402D2">
        <w:rPr>
          <w:rFonts w:ascii="Arial" w:hAnsi="Arial" w:cs="Arial"/>
          <w:sz w:val="20"/>
          <w:szCs w:val="20"/>
        </w:rPr>
        <w:t xml:space="preserve">Remote or isolated work </w:t>
      </w:r>
    </w:p>
    <w:p w14:paraId="043BBB65" w14:textId="4BC906C3" w:rsidR="00721D10" w:rsidRDefault="00587F6D" w:rsidP="007402D2">
      <w:pPr>
        <w:pStyle w:val="ListParagraph"/>
        <w:numPr>
          <w:ilvl w:val="0"/>
          <w:numId w:val="25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7402D2">
        <w:rPr>
          <w:rFonts w:ascii="Arial" w:hAnsi="Arial" w:cs="Arial"/>
          <w:sz w:val="20"/>
          <w:szCs w:val="20"/>
        </w:rPr>
        <w:t>Exposure to traumatic events</w:t>
      </w:r>
    </w:p>
    <w:p w14:paraId="1C4B334B" w14:textId="77777777" w:rsidR="007402D2" w:rsidRPr="007402D2" w:rsidRDefault="007402D2" w:rsidP="007402D2">
      <w:pPr>
        <w:spacing w:before="240"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7402D2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60C7E373" w14:textId="71519291" w:rsidR="00721D10" w:rsidRDefault="00721D10" w:rsidP="007402D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2A5881AC" w14:textId="0776A387" w:rsidR="007402D2" w:rsidRPr="007402D2" w:rsidRDefault="007402D2" w:rsidP="00740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6DA2F1" w14:textId="77777777" w:rsidR="00721D10" w:rsidRPr="005718BD" w:rsidRDefault="00721D10" w:rsidP="007402D2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5C10F488" w14:textId="6BD0AF7E" w:rsidR="00721D10" w:rsidRPr="007402D2" w:rsidRDefault="007402D2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[</w:t>
      </w:r>
      <w:r w:rsidR="00721D10" w:rsidRPr="007402D2">
        <w:rPr>
          <w:rFonts w:ascii="Arial" w:hAnsi="Arial" w:cs="Arial"/>
          <w:sz w:val="20"/>
          <w:szCs w:val="20"/>
          <w:highlight w:val="yellow"/>
        </w:rPr>
        <w:t>Is there any equipment required for users to apply this procedure</w:t>
      </w:r>
      <w:r>
        <w:rPr>
          <w:rFonts w:ascii="Arial" w:hAnsi="Arial" w:cs="Arial"/>
          <w:sz w:val="20"/>
          <w:szCs w:val="20"/>
          <w:highlight w:val="yellow"/>
        </w:rPr>
        <w:t>]</w:t>
      </w:r>
    </w:p>
    <w:p w14:paraId="1181DE59" w14:textId="77777777" w:rsidR="00721D10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306DBA7" w14:textId="77777777" w:rsidR="00BC49E2" w:rsidRDefault="00BC49E2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</w:p>
    <w:p w14:paraId="4C675D92" w14:textId="77777777" w:rsidR="00BC49E2" w:rsidRDefault="00BC49E2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</w:p>
    <w:p w14:paraId="4E899CCA" w14:textId="77777777" w:rsidR="00BC49E2" w:rsidRDefault="00BC49E2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</w:p>
    <w:p w14:paraId="3E3BC71C" w14:textId="347D85FA" w:rsidR="00721D10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Procedure</w:t>
      </w:r>
    </w:p>
    <w:p w14:paraId="4BE1BD40" w14:textId="06DE7C63" w:rsidR="00BC49E2" w:rsidRPr="00BC49E2" w:rsidRDefault="00BC49E2" w:rsidP="00BC49E2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Identify Psychosocial Hazards </w:t>
      </w:r>
    </w:p>
    <w:p w14:paraId="2E26161F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Engage with workers (consultation, meetings, pre-starts, surveys) to understand stressors and risks. </w:t>
      </w:r>
    </w:p>
    <w:p w14:paraId="062B5CE3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Analyse organisational factors (work design, shifts, rosters, work environment and facilities, organisational structure, supervisor ratios) and leader/worker interaction behaviour for to identify stress points. </w:t>
      </w:r>
    </w:p>
    <w:p w14:paraId="489717BA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Use surveys, interviews, or incident reports to gather data. </w:t>
      </w:r>
    </w:p>
    <w:p w14:paraId="67761B4D" w14:textId="233DAF00" w:rsidR="00BC49E2" w:rsidRPr="00BC49E2" w:rsidRDefault="00BC49E2" w:rsidP="00BC49E2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Assess Psychosocial Risks </w:t>
      </w:r>
    </w:p>
    <w:p w14:paraId="390245EB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Consider duration, frequency, and severity of exposure. </w:t>
      </w:r>
    </w:p>
    <w:p w14:paraId="27412642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Evaluate which workers are most affected and under what conditions. </w:t>
      </w:r>
    </w:p>
    <w:p w14:paraId="09657C4F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Combine risks for a holistic view (e.g., high workload + poor support = elevated risk) </w:t>
      </w:r>
    </w:p>
    <w:p w14:paraId="155E9D5F" w14:textId="5363CBE6" w:rsidR="00BC49E2" w:rsidRPr="00BC49E2" w:rsidRDefault="00BC49E2" w:rsidP="00BC49E2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Control the Risks </w:t>
      </w:r>
    </w:p>
    <w:p w14:paraId="69C8019A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Eliminate hazards where practicable. </w:t>
      </w:r>
    </w:p>
    <w:p w14:paraId="38F264B6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If elimination isn’t possible, minimize risks using: </w:t>
      </w:r>
    </w:p>
    <w:p w14:paraId="460E65F2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Job redesign </w:t>
      </w:r>
    </w:p>
    <w:p w14:paraId="3169C7DC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Improved communication and support (job &amp; task descriptions, mentoring, expectations- ‘what does good look like’)  </w:t>
      </w:r>
    </w:p>
    <w:p w14:paraId="42251FAF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Leader/supervisor training and conflict resolution strategies </w:t>
      </w:r>
    </w:p>
    <w:p w14:paraId="253D5178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Increase/improve supervision </w:t>
      </w:r>
    </w:p>
    <w:p w14:paraId="3C6B3AB7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More active visible leaders in workplace </w:t>
      </w:r>
    </w:p>
    <w:p w14:paraId="78B85B50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Assess lunchroom &amp; break, toilet/washing/change facilities for adequacy &amp; appropriateness </w:t>
      </w:r>
    </w:p>
    <w:p w14:paraId="53940E49" w14:textId="0F113964" w:rsidR="00BC49E2" w:rsidRPr="00BC49E2" w:rsidRDefault="00BC49E2" w:rsidP="00411755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Review Controls </w:t>
      </w:r>
    </w:p>
    <w:p w14:paraId="71F4FB08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Regularly evaluate the effectiveness of control measures- Controls still present. Controls remain effective through change. Document control effectiveness. </w:t>
      </w:r>
    </w:p>
    <w:p w14:paraId="5E4F4D0D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Update controls when: </w:t>
      </w:r>
    </w:p>
    <w:p w14:paraId="234BE256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New hazards/risks are identified </w:t>
      </w:r>
    </w:p>
    <w:p w14:paraId="3136C553" w14:textId="77777777" w:rsidR="00BC49E2" w:rsidRPr="00BC49E2" w:rsidRDefault="00BC49E2" w:rsidP="00BC49E2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Workplace changes occur (new staff, different facility, changed process, changed job responsibilities, additional) workload </w:t>
      </w:r>
    </w:p>
    <w:p w14:paraId="1D7620F0" w14:textId="7DFA74C0" w:rsidR="00E848AC" w:rsidRDefault="00BC49E2" w:rsidP="007402D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9E2">
        <w:rPr>
          <w:rFonts w:ascii="Arial" w:hAnsi="Arial" w:cs="Arial"/>
          <w:sz w:val="20"/>
          <w:szCs w:val="20"/>
        </w:rPr>
        <w:t>Workers raise concerns or request reviews</w:t>
      </w:r>
    </w:p>
    <w:p w14:paraId="2C2DDF7E" w14:textId="77777777" w:rsidR="007402D2" w:rsidRPr="007402D2" w:rsidRDefault="007402D2" w:rsidP="007402D2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3D5E001A" w14:textId="13DCECD3" w:rsidR="00721D10" w:rsidRPr="005718BD" w:rsidRDefault="00721D10" w:rsidP="007402D2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0553DFDE" w14:textId="2AD9AD21" w:rsidR="00721D10" w:rsidRDefault="00E848AC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4451">
        <w:rPr>
          <w:rFonts w:ascii="Arial" w:hAnsi="Arial" w:cs="Arial"/>
          <w:sz w:val="20"/>
          <w:szCs w:val="20"/>
        </w:rPr>
        <w:t xml:space="preserve">In Queensland, the procedure to identify and mitigate psychosocial hazards is governed by the </w:t>
      </w:r>
      <w:bookmarkStart w:id="0" w:name="_Hlk207867318"/>
      <w:r w:rsidRPr="00724451">
        <w:rPr>
          <w:rFonts w:ascii="Arial" w:hAnsi="Arial" w:cs="Arial"/>
          <w:sz w:val="20"/>
          <w:szCs w:val="20"/>
        </w:rPr>
        <w:t>Managing the Risk of Psychosocial Hazards at Work Code of Practice 2022</w:t>
      </w:r>
      <w:bookmarkEnd w:id="0"/>
      <w:r w:rsidRPr="00724451">
        <w:rPr>
          <w:rFonts w:ascii="Arial" w:hAnsi="Arial" w:cs="Arial"/>
          <w:sz w:val="20"/>
          <w:szCs w:val="20"/>
        </w:rPr>
        <w:t>, which became effective on April 1, 2023. This Code outlines a structured approach for employers to create safer and healthier workplaces by addressing risks to psychological health. </w:t>
      </w:r>
    </w:p>
    <w:p w14:paraId="7AF9C403" w14:textId="7570E3A8" w:rsidR="00742A49" w:rsidRDefault="00FE445F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1 March 2025, </w:t>
      </w:r>
      <w:r w:rsidR="007402D2">
        <w:rPr>
          <w:rFonts w:ascii="Arial" w:hAnsi="Arial" w:cs="Arial"/>
          <w:sz w:val="20"/>
          <w:szCs w:val="20"/>
        </w:rPr>
        <w:t>[</w:t>
      </w:r>
      <w:r w:rsidR="007402D2" w:rsidRPr="00145D0B">
        <w:rPr>
          <w:rFonts w:ascii="Arial" w:hAnsi="Arial" w:cs="Arial"/>
          <w:sz w:val="20"/>
          <w:szCs w:val="20"/>
          <w:highlight w:val="yellow"/>
        </w:rPr>
        <w:t>Business Name</w:t>
      </w:r>
      <w:r w:rsidR="007402D2">
        <w:rPr>
          <w:rFonts w:ascii="Arial" w:hAnsi="Arial" w:cs="Arial"/>
          <w:sz w:val="20"/>
          <w:szCs w:val="20"/>
        </w:rPr>
        <w:t>]</w:t>
      </w:r>
      <w:r w:rsidR="007402D2" w:rsidRPr="00145D0B">
        <w:rPr>
          <w:rFonts w:ascii="Arial" w:hAnsi="Arial" w:cs="Arial"/>
          <w:sz w:val="20"/>
          <w:szCs w:val="20"/>
        </w:rPr>
        <w:t xml:space="preserve"> </w:t>
      </w:r>
      <w:r w:rsidR="00BF175C" w:rsidRPr="00BF175C">
        <w:rPr>
          <w:rFonts w:ascii="Arial" w:hAnsi="Arial" w:cs="Arial"/>
          <w:sz w:val="20"/>
          <w:szCs w:val="20"/>
        </w:rPr>
        <w:t>must prepare and implement</w:t>
      </w:r>
      <w:r w:rsidR="00BF175C">
        <w:rPr>
          <w:rFonts w:ascii="Arial" w:hAnsi="Arial" w:cs="Arial"/>
          <w:sz w:val="20"/>
          <w:szCs w:val="20"/>
        </w:rPr>
        <w:t xml:space="preserve"> a</w:t>
      </w:r>
      <w:r w:rsidR="00541D7A">
        <w:rPr>
          <w:rFonts w:ascii="Arial" w:hAnsi="Arial" w:cs="Arial"/>
          <w:sz w:val="20"/>
          <w:szCs w:val="20"/>
        </w:rPr>
        <w:t xml:space="preserve"> prevention plan to manage identified risks to the health</w:t>
      </w:r>
      <w:r w:rsidR="000B41CC">
        <w:rPr>
          <w:rFonts w:ascii="Arial" w:hAnsi="Arial" w:cs="Arial"/>
          <w:sz w:val="20"/>
          <w:szCs w:val="20"/>
        </w:rPr>
        <w:t xml:space="preserve"> and safety of workers, or others, </w:t>
      </w:r>
      <w:r w:rsidR="00466CCD">
        <w:rPr>
          <w:rFonts w:ascii="Arial" w:hAnsi="Arial" w:cs="Arial"/>
          <w:sz w:val="20"/>
          <w:szCs w:val="20"/>
        </w:rPr>
        <w:t xml:space="preserve">from sexual harassment and sex or </w:t>
      </w:r>
      <w:r w:rsidR="00AC330B">
        <w:rPr>
          <w:rFonts w:ascii="Arial" w:hAnsi="Arial" w:cs="Arial"/>
          <w:sz w:val="20"/>
          <w:szCs w:val="20"/>
        </w:rPr>
        <w:t>gender-based</w:t>
      </w:r>
      <w:r w:rsidR="00466CCD">
        <w:rPr>
          <w:rFonts w:ascii="Arial" w:hAnsi="Arial" w:cs="Arial"/>
          <w:sz w:val="20"/>
          <w:szCs w:val="20"/>
        </w:rPr>
        <w:t xml:space="preserve"> harassment</w:t>
      </w:r>
      <w:r w:rsidR="00FF429E">
        <w:rPr>
          <w:rFonts w:ascii="Arial" w:hAnsi="Arial" w:cs="Arial"/>
          <w:sz w:val="20"/>
          <w:szCs w:val="20"/>
        </w:rPr>
        <w:t xml:space="preserve"> at work.</w:t>
      </w:r>
    </w:p>
    <w:p w14:paraId="440574B9" w14:textId="19090ABD" w:rsidR="00FF429E" w:rsidRPr="00653A27" w:rsidRDefault="007402D2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45D0B">
        <w:rPr>
          <w:rFonts w:ascii="Arial" w:hAnsi="Arial" w:cs="Arial"/>
          <w:sz w:val="20"/>
          <w:szCs w:val="20"/>
          <w:highlight w:val="yellow"/>
        </w:rPr>
        <w:t>Business Name</w:t>
      </w:r>
      <w:r>
        <w:rPr>
          <w:rFonts w:ascii="Arial" w:hAnsi="Arial" w:cs="Arial"/>
          <w:sz w:val="20"/>
          <w:szCs w:val="20"/>
        </w:rPr>
        <w:t>]</w:t>
      </w:r>
      <w:r w:rsidRPr="00145D0B">
        <w:rPr>
          <w:rFonts w:ascii="Arial" w:hAnsi="Arial" w:cs="Arial"/>
          <w:sz w:val="20"/>
          <w:szCs w:val="20"/>
        </w:rPr>
        <w:t xml:space="preserve"> </w:t>
      </w:r>
      <w:r w:rsidR="00D61DDC" w:rsidRPr="00653A27">
        <w:rPr>
          <w:rFonts w:ascii="Arial" w:hAnsi="Arial" w:cs="Arial"/>
          <w:sz w:val="20"/>
          <w:szCs w:val="20"/>
        </w:rPr>
        <w:t xml:space="preserve">is required to proactively manage risks under </w:t>
      </w:r>
      <w:r w:rsidR="00653A27" w:rsidRPr="00653A27">
        <w:rPr>
          <w:rFonts w:ascii="Arial" w:hAnsi="Arial" w:cs="Arial"/>
          <w:sz w:val="20"/>
          <w:szCs w:val="20"/>
        </w:rPr>
        <w:t xml:space="preserve">WHS </w:t>
      </w:r>
      <w:proofErr w:type="gramStart"/>
      <w:r w:rsidR="00653A27" w:rsidRPr="00653A27">
        <w:rPr>
          <w:rFonts w:ascii="Arial" w:hAnsi="Arial" w:cs="Arial"/>
          <w:sz w:val="20"/>
          <w:szCs w:val="20"/>
        </w:rPr>
        <w:t>legislation</w:t>
      </w:r>
      <w:proofErr w:type="gramEnd"/>
      <w:r w:rsidR="00653A27" w:rsidRPr="00653A27">
        <w:rPr>
          <w:rFonts w:ascii="Arial" w:hAnsi="Arial" w:cs="Arial"/>
          <w:sz w:val="20"/>
          <w:szCs w:val="20"/>
        </w:rPr>
        <w:t xml:space="preserve"> and a written plan helps fulfil this obligation.</w:t>
      </w:r>
    </w:p>
    <w:p w14:paraId="7DBFF0A2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lastRenderedPageBreak/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7E0E7E7C" w14:textId="77777777" w:rsidR="00721D10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 </w:t>
      </w:r>
    </w:p>
    <w:p w14:paraId="0D174466" w14:textId="0121F720" w:rsidR="00721D10" w:rsidRDefault="00183EB2" w:rsidP="007402D2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3EB2">
        <w:rPr>
          <w:rFonts w:ascii="Arial" w:hAnsi="Arial" w:cs="Arial"/>
          <w:sz w:val="20"/>
          <w:szCs w:val="20"/>
        </w:rPr>
        <w:t>Managing the Risk of Psychosocial Hazards at Work Code of Practice 2022</w:t>
      </w:r>
    </w:p>
    <w:p w14:paraId="61C6C9EE" w14:textId="77777777" w:rsidR="007402D2" w:rsidRPr="007402D2" w:rsidRDefault="007402D2" w:rsidP="007402D2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7402D2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CB04" w14:textId="77777777" w:rsidR="00030A57" w:rsidRDefault="00030A57" w:rsidP="00947E57">
      <w:pPr>
        <w:spacing w:before="0" w:after="0" w:line="240" w:lineRule="auto"/>
      </w:pPr>
      <w:r>
        <w:separator/>
      </w:r>
    </w:p>
  </w:endnote>
  <w:endnote w:type="continuationSeparator" w:id="0">
    <w:p w14:paraId="47CD2E92" w14:textId="77777777" w:rsidR="00030A57" w:rsidRDefault="00030A57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4DBBDF49" w14:textId="77777777" w:rsidR="00030A57" w:rsidRDefault="00030A5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5C94CE46" w:rsidR="00947E57" w:rsidRPr="004E4BB4" w:rsidRDefault="004F185D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Managing Bullying, Harassment and Psychosocial Hazards- SOP</w:t>
        </w:r>
        <w:r w:rsidR="00CE4968">
          <w:rPr>
            <w:rStyle w:val="SubtleEmphasis"/>
            <w:rFonts w:ascii="Arial" w:hAnsi="Arial" w:cs="Arial"/>
            <w:i w:val="0"/>
            <w:iCs w:val="0"/>
            <w:color w:val="3763AE"/>
          </w:rPr>
          <w:t>.</w:t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E56E" w14:textId="77777777" w:rsidR="00030A57" w:rsidRDefault="00030A57" w:rsidP="00947E57">
      <w:pPr>
        <w:spacing w:before="0" w:after="0" w:line="240" w:lineRule="auto"/>
      </w:pPr>
      <w:r>
        <w:separator/>
      </w:r>
    </w:p>
  </w:footnote>
  <w:footnote w:type="continuationSeparator" w:id="0">
    <w:p w14:paraId="022B7D95" w14:textId="77777777" w:rsidR="00030A57" w:rsidRDefault="00030A57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3975DD17" w14:textId="77777777" w:rsidR="00030A57" w:rsidRDefault="00030A5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9C848B" w14:textId="77777777" w:rsidR="003D59BB" w:rsidRDefault="003D59BB" w:rsidP="003D59BB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Standard operating Procedure</w:t>
                          </w:r>
                        </w:p>
                        <w:p w14:paraId="6EB2E440" w14:textId="24DE5CD8" w:rsidR="00721D10" w:rsidRPr="0077293C" w:rsidRDefault="00721D10" w:rsidP="003D59BB">
                          <w:pPr>
                            <w:spacing w:after="0"/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80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 filled="f" stroked="f" strokeweight=".5pt">
              <v:textbox>
                <w:txbxContent>
                  <w:p w14:paraId="019C848B" w14:textId="77777777" w:rsidR="003D59BB" w:rsidRDefault="003D59BB" w:rsidP="003D59BB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Standard operating Procedure</w:t>
                    </w:r>
                  </w:p>
                  <w:p w14:paraId="6EB2E440" w14:textId="24DE5CD8" w:rsidR="00721D10" w:rsidRPr="0077293C" w:rsidRDefault="00721D10" w:rsidP="003D59BB">
                    <w:pPr>
                      <w:spacing w:after="0"/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04266" id="Rectangle 1" o:spid="_x0000_s1027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 fillcolor="#00aeef" stroked="f" strokeweight="1pt">
              <v:textbox>
                <w:txbxContent>
                  <w:p w14:paraId="4E88C030" w14:textId="77777777" w:rsidR="00721D10" w:rsidRPr="00FD0F39" w:rsidRDefault="00721D10" w:rsidP="00721D10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5C4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 filled="f" stroked="f" strokeweight=".5pt">
              <v:textbox>
                <w:txbxContent>
                  <w:p w14:paraId="1E710ADE" w14:textId="77777777" w:rsidR="00FD0F39" w:rsidRPr="0077293C" w:rsidRDefault="00FD0F39" w:rsidP="0077293C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14:paraId="71BAAC08" w14:textId="77777777" w:rsidR="00FD0F39" w:rsidRPr="0077293C" w:rsidRDefault="00FD0F39" w:rsidP="00FD0F39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C8F9E"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 fillcolor="#00aeef" stroked="f" strokeweight="1pt">
              <v:textbox>
                <w:txbxContent>
                  <w:p w14:paraId="76BE0BF0" w14:textId="77777777" w:rsidR="00743698" w:rsidRPr="00FD0F39" w:rsidRDefault="00743698" w:rsidP="00743698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F0ED7"/>
    <w:multiLevelType w:val="multilevel"/>
    <w:tmpl w:val="F8E85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CD03E9"/>
    <w:multiLevelType w:val="multilevel"/>
    <w:tmpl w:val="6AB2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710A"/>
    <w:multiLevelType w:val="multilevel"/>
    <w:tmpl w:val="B45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1326D0"/>
    <w:multiLevelType w:val="multilevel"/>
    <w:tmpl w:val="4E56C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41626B"/>
    <w:multiLevelType w:val="multilevel"/>
    <w:tmpl w:val="BE18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D2913"/>
    <w:multiLevelType w:val="multilevel"/>
    <w:tmpl w:val="13B09C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4DF13D9"/>
    <w:multiLevelType w:val="multilevel"/>
    <w:tmpl w:val="4282CE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9511786"/>
    <w:multiLevelType w:val="multilevel"/>
    <w:tmpl w:val="438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ED7F7B"/>
    <w:multiLevelType w:val="hybridMultilevel"/>
    <w:tmpl w:val="ECBA2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7091B"/>
    <w:multiLevelType w:val="multilevel"/>
    <w:tmpl w:val="EBF84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0C17206"/>
    <w:multiLevelType w:val="multilevel"/>
    <w:tmpl w:val="6066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E13733"/>
    <w:multiLevelType w:val="multilevel"/>
    <w:tmpl w:val="C038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776B21"/>
    <w:multiLevelType w:val="multilevel"/>
    <w:tmpl w:val="5BB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0E6D88"/>
    <w:multiLevelType w:val="multilevel"/>
    <w:tmpl w:val="732A7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C006A78"/>
    <w:multiLevelType w:val="multilevel"/>
    <w:tmpl w:val="BAD62F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3E37B56"/>
    <w:multiLevelType w:val="multilevel"/>
    <w:tmpl w:val="BD2E2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AC04AB1"/>
    <w:multiLevelType w:val="multilevel"/>
    <w:tmpl w:val="3E0E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5724CB"/>
    <w:multiLevelType w:val="multilevel"/>
    <w:tmpl w:val="64FC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2659C1"/>
    <w:multiLevelType w:val="multilevel"/>
    <w:tmpl w:val="0972BD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7F7C1094"/>
    <w:multiLevelType w:val="multilevel"/>
    <w:tmpl w:val="54B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7"/>
  </w:num>
  <w:num w:numId="3" w16cid:durableId="841314973">
    <w:abstractNumId w:val="12"/>
  </w:num>
  <w:num w:numId="4" w16cid:durableId="956523036">
    <w:abstractNumId w:val="23"/>
  </w:num>
  <w:num w:numId="5" w16cid:durableId="2124111224">
    <w:abstractNumId w:val="3"/>
  </w:num>
  <w:num w:numId="6" w16cid:durableId="1714847435">
    <w:abstractNumId w:val="10"/>
  </w:num>
  <w:num w:numId="7" w16cid:durableId="378288182">
    <w:abstractNumId w:val="24"/>
  </w:num>
  <w:num w:numId="8" w16cid:durableId="780488696">
    <w:abstractNumId w:val="6"/>
  </w:num>
  <w:num w:numId="9" w16cid:durableId="675377344">
    <w:abstractNumId w:val="4"/>
  </w:num>
  <w:num w:numId="10" w16cid:durableId="803616939">
    <w:abstractNumId w:val="16"/>
  </w:num>
  <w:num w:numId="11" w16cid:durableId="812521418">
    <w:abstractNumId w:val="15"/>
  </w:num>
  <w:num w:numId="12" w16cid:durableId="1207256614">
    <w:abstractNumId w:val="21"/>
  </w:num>
  <w:num w:numId="13" w16cid:durableId="884950335">
    <w:abstractNumId w:val="20"/>
  </w:num>
  <w:num w:numId="14" w16cid:durableId="1453592224">
    <w:abstractNumId w:val="19"/>
  </w:num>
  <w:num w:numId="15" w16cid:durableId="1326587705">
    <w:abstractNumId w:val="9"/>
  </w:num>
  <w:num w:numId="16" w16cid:durableId="2094814050">
    <w:abstractNumId w:val="1"/>
  </w:num>
  <w:num w:numId="17" w16cid:durableId="1171141693">
    <w:abstractNumId w:val="5"/>
  </w:num>
  <w:num w:numId="18" w16cid:durableId="2075816539">
    <w:abstractNumId w:val="13"/>
  </w:num>
  <w:num w:numId="19" w16cid:durableId="928587232">
    <w:abstractNumId w:val="22"/>
  </w:num>
  <w:num w:numId="20" w16cid:durableId="1808087867">
    <w:abstractNumId w:val="14"/>
  </w:num>
  <w:num w:numId="21" w16cid:durableId="1933855833">
    <w:abstractNumId w:val="2"/>
  </w:num>
  <w:num w:numId="22" w16cid:durableId="1272274107">
    <w:abstractNumId w:val="8"/>
  </w:num>
  <w:num w:numId="23" w16cid:durableId="1735733949">
    <w:abstractNumId w:val="18"/>
  </w:num>
  <w:num w:numId="24" w16cid:durableId="703867422">
    <w:abstractNumId w:val="17"/>
  </w:num>
  <w:num w:numId="25" w16cid:durableId="1969772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30A57"/>
    <w:rsid w:val="00090C6D"/>
    <w:rsid w:val="000B41CC"/>
    <w:rsid w:val="000E768B"/>
    <w:rsid w:val="00114A33"/>
    <w:rsid w:val="00163037"/>
    <w:rsid w:val="001805E0"/>
    <w:rsid w:val="00183EB2"/>
    <w:rsid w:val="00192477"/>
    <w:rsid w:val="00197D91"/>
    <w:rsid w:val="00226008"/>
    <w:rsid w:val="00236E84"/>
    <w:rsid w:val="002465A5"/>
    <w:rsid w:val="00345465"/>
    <w:rsid w:val="00386217"/>
    <w:rsid w:val="00394C50"/>
    <w:rsid w:val="003B01CD"/>
    <w:rsid w:val="003B67A1"/>
    <w:rsid w:val="003B7E0F"/>
    <w:rsid w:val="003D4BF0"/>
    <w:rsid w:val="003D59BB"/>
    <w:rsid w:val="00411755"/>
    <w:rsid w:val="00466CCD"/>
    <w:rsid w:val="004B2FEA"/>
    <w:rsid w:val="004B6FD5"/>
    <w:rsid w:val="004E4BB4"/>
    <w:rsid w:val="004F185D"/>
    <w:rsid w:val="00541D7A"/>
    <w:rsid w:val="00566EE6"/>
    <w:rsid w:val="00587F6D"/>
    <w:rsid w:val="005B1835"/>
    <w:rsid w:val="005E1E91"/>
    <w:rsid w:val="005E2A7E"/>
    <w:rsid w:val="006021E7"/>
    <w:rsid w:val="00610602"/>
    <w:rsid w:val="00632B5D"/>
    <w:rsid w:val="006503A7"/>
    <w:rsid w:val="00653A27"/>
    <w:rsid w:val="006549B5"/>
    <w:rsid w:val="00684757"/>
    <w:rsid w:val="006C30C2"/>
    <w:rsid w:val="006F55D2"/>
    <w:rsid w:val="00721D10"/>
    <w:rsid w:val="00724451"/>
    <w:rsid w:val="007402D2"/>
    <w:rsid w:val="00742A49"/>
    <w:rsid w:val="00743698"/>
    <w:rsid w:val="00745A29"/>
    <w:rsid w:val="0077293C"/>
    <w:rsid w:val="007830B0"/>
    <w:rsid w:val="00831C4D"/>
    <w:rsid w:val="0085450F"/>
    <w:rsid w:val="00862D98"/>
    <w:rsid w:val="00871710"/>
    <w:rsid w:val="008E7056"/>
    <w:rsid w:val="00932575"/>
    <w:rsid w:val="00947E57"/>
    <w:rsid w:val="009532AE"/>
    <w:rsid w:val="00A6739C"/>
    <w:rsid w:val="00AC330B"/>
    <w:rsid w:val="00AC74F9"/>
    <w:rsid w:val="00BC49E2"/>
    <w:rsid w:val="00BD70C4"/>
    <w:rsid w:val="00BF175C"/>
    <w:rsid w:val="00BF2C3E"/>
    <w:rsid w:val="00BF644D"/>
    <w:rsid w:val="00C30D49"/>
    <w:rsid w:val="00C435C4"/>
    <w:rsid w:val="00C45405"/>
    <w:rsid w:val="00C74D28"/>
    <w:rsid w:val="00CA376E"/>
    <w:rsid w:val="00CB344A"/>
    <w:rsid w:val="00CD39D3"/>
    <w:rsid w:val="00CE4968"/>
    <w:rsid w:val="00CF4CC2"/>
    <w:rsid w:val="00D13073"/>
    <w:rsid w:val="00D4741C"/>
    <w:rsid w:val="00D50F77"/>
    <w:rsid w:val="00D51177"/>
    <w:rsid w:val="00D54B60"/>
    <w:rsid w:val="00D61DDC"/>
    <w:rsid w:val="00DA791D"/>
    <w:rsid w:val="00DC7B12"/>
    <w:rsid w:val="00DE2238"/>
    <w:rsid w:val="00DE2BDB"/>
    <w:rsid w:val="00E5422C"/>
    <w:rsid w:val="00E848AC"/>
    <w:rsid w:val="00EB5D71"/>
    <w:rsid w:val="00F27CD1"/>
    <w:rsid w:val="00F66E7F"/>
    <w:rsid w:val="00FD0F39"/>
    <w:rsid w:val="00FE445F"/>
    <w:rsid w:val="00FF429E"/>
    <w:rsid w:val="419A9412"/>
    <w:rsid w:val="55A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  <w:style w:type="paragraph" w:customStyle="1" w:styleId="paragraph">
    <w:name w:val="paragraph"/>
    <w:basedOn w:val="Normal"/>
    <w:rsid w:val="0034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45465"/>
  </w:style>
  <w:style w:type="character" w:customStyle="1" w:styleId="eop">
    <w:name w:val="eop"/>
    <w:basedOn w:val="DefaultParagraphFont"/>
    <w:rsid w:val="0034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ABC48-B3BB-4A45-A3E0-F513AD91142B}"/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36</TotalTime>
  <Pages>3</Pages>
  <Words>580</Words>
  <Characters>3581</Characters>
  <Application>Microsoft Office Word</Application>
  <DocSecurity>0</DocSecurity>
  <Lines>102</Lines>
  <Paragraphs>88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31</cp:revision>
  <dcterms:created xsi:type="dcterms:W3CDTF">2025-09-02T22:27:00Z</dcterms:created>
  <dcterms:modified xsi:type="dcterms:W3CDTF">2025-10-22T05:17:00Z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